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（G1GP）顾客特殊要求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916"/>
        <w:gridCol w:w="2980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M</w:t>
            </w:r>
            <w:r>
              <w:rPr>
                <w:b/>
                <w:sz w:val="21"/>
                <w:szCs w:val="21"/>
              </w:rPr>
              <w:t>i</w:t>
            </w:r>
            <w:r>
              <w:rPr>
                <w:rFonts w:hint="eastAsia"/>
                <w:b/>
                <w:sz w:val="21"/>
                <w:szCs w:val="21"/>
              </w:rPr>
              <w:t>部分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外观检查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2022-11-14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G1GP验收标准要求李俊仪2022-09-29新代码 410130 旧代码 G1GP军品顾客质量要求评审表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共用部分1~7、MI部分2~4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标记、验收等级、板材、过孔工艺、出货报告 、翘曲度、金手指类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20240320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  <w:t>QA-POM-016-A0 印制板类零件控制要求(1)李俊仪2024-03-12G1GP/410130军品顾客质量要求评审表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共用部分第4、8点；MI部分2~4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金手指板过孔工艺客户无要求改为阻焊塞孔；出货提供阻抗条的要求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20240418</w:t>
            </w:r>
          </w:p>
        </w:tc>
        <w:tc>
          <w:tcPr>
            <w:tcW w:w="2606" w:type="dxa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Arial" w:cs="Arial"/>
                <w:sz w:val="24"/>
                <w:szCs w:val="24"/>
                <w:shd w:val="clear" w:fill="FFFFFF"/>
              </w:rPr>
            </w:pPr>
            <w:r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QA-POM-016-A0 印制板类零件控制要求(1)李俊仪2024-03-12G1GP/410130军品顾客质量要求评审表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共用部分第8点，预审\CAM第1点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出货提供专用的阻抗测试条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20240429</w:t>
            </w:r>
          </w:p>
        </w:tc>
        <w:tc>
          <w:tcPr>
            <w:tcW w:w="2606" w:type="dxa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default" w:ascii="Arial" w:hAnsi="Arial" w:eastAsia="Arial" w:cs="Arial"/>
                <w:color w:val="auto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QA-POM-016-A0 印制板类零件控制要求(1)李俊仪2024-03-12G1GP/410130军品顾客质量要求评审表</w:t>
            </w:r>
          </w:p>
        </w:tc>
      </w:tr>
    </w:tbl>
    <w:p>
      <w:pPr>
        <w:spacing w:line="360" w:lineRule="auto"/>
        <w:jc w:val="left"/>
        <w:rPr>
          <w:b/>
          <w:color w:val="0000FF"/>
          <w:sz w:val="21"/>
          <w:szCs w:val="21"/>
        </w:rPr>
      </w:pPr>
      <w:r>
        <w:rPr>
          <w:rFonts w:hint="eastAsia"/>
          <w:b/>
          <w:color w:val="0000FF"/>
          <w:sz w:val="21"/>
          <w:szCs w:val="21"/>
        </w:rPr>
        <w:t>备注：更新的内容以蓝色字体显示。</w:t>
      </w:r>
    </w:p>
    <w:p>
      <w:pPr>
        <w:spacing w:line="360" w:lineRule="auto"/>
        <w:rPr>
          <w:rFonts w:ascii="宋体" w:hAnsi="宋体"/>
          <w:b/>
          <w:sz w:val="21"/>
          <w:szCs w:val="21"/>
          <w:highlight w:val="red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标记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客户无要求时，不添加公司任何标记及产品追溯标识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验收等级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客户无要求时，默认IPC-6012 II级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板材按客户要求，未经客户允许不得替换料。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 w:val="21"/>
          <w:szCs w:val="21"/>
          <w:lang w:val="en-US" w:eastAsia="zh-CN"/>
        </w:rPr>
        <w:t>过孔工艺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FF"/>
          <w:kern w:val="0"/>
          <w:sz w:val="21"/>
          <w:szCs w:val="21"/>
          <w:lang w:val="en-US" w:eastAsia="zh-CN"/>
        </w:rPr>
        <w:t>金手指类客户无要求，过孔阻焊塞孔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出货报告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阻抗测试报告(订单有阻抗要求时)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阻抗条(订单有阻抗要求时)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板材COC报告</w:t>
      </w:r>
    </w:p>
    <w:p>
      <w:pPr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绝缘电阻测试报告（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耐电压测试报告（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6）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耐盐雾测试报告（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金手指类必须提供，非金手指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按客户要求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翘曲度（非金手指</w:t>
      </w: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订单</w:t>
      </w: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，金手指类按订单）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板厚≤1.2mm，翘曲度≤1.2%；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1.2mm&lt;板厚≤1.8mm，翘曲度≤1.0%；</w:t>
      </w:r>
    </w:p>
    <w:p>
      <w:pPr>
        <w:numPr>
          <w:ilvl w:val="0"/>
          <w:numId w:val="3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1.8mm&lt;板厚，翘曲度≤0.8%；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金手指类</w:t>
      </w:r>
    </w:p>
    <w:p>
      <w:pPr>
        <w:numPr>
          <w:ilvl w:val="0"/>
          <w:numId w:val="0"/>
        </w:numPr>
        <w:spacing w:line="360" w:lineRule="auto"/>
        <w:ind w:left="0" w:leftChars="0" w:firstLine="422" w:firstLineChars="200"/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整板沉金，局部外露部分镀硬金。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533CFF"/>
          <w:kern w:val="0"/>
          <w:sz w:val="21"/>
          <w:szCs w:val="21"/>
          <w:lang w:val="en-US" w:eastAsia="zh-CN"/>
        </w:rPr>
        <w:t>阻抗条（有阻抗的订单）</w:t>
      </w:r>
      <w:r>
        <w:rPr>
          <w:rFonts w:hint="default" w:ascii="Arial" w:hAnsi="Arial" w:eastAsia="Arial" w:cs="Arial"/>
          <w:color w:val="533CFF"/>
          <w:sz w:val="21"/>
          <w:szCs w:val="21"/>
        </w:rPr>
        <w:br w:type="textWrapping"/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1）投产1pnl，提供1个客户专用阻抗条；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2）投产大于1pnl，提供2个客户专用阻抗条；</w:t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  <w:r>
        <w:rPr>
          <w:rFonts w:hint="default" w:ascii="Arial" w:hAnsi="Arial" w:eastAsia="Arial" w:cs="Arial"/>
          <w:color w:val="333333"/>
          <w:sz w:val="21"/>
          <w:szCs w:val="21"/>
        </w:rPr>
        <w:br w:type="textWrapping"/>
      </w: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预审部分：</w:t>
      </w:r>
    </w:p>
    <w:p>
      <w:pPr>
        <w:spacing w:line="360" w:lineRule="auto"/>
        <w:rPr>
          <w:rFonts w:hint="default" w:ascii="Arial" w:hAnsi="Arial" w:eastAsia="宋体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1、有阻抗的订单除加内部的测试条，还需加客户专用的阻抗条，尺寸130*20mm</w:t>
      </w:r>
    </w:p>
    <w:p>
      <w:pPr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>
      <w:pPr>
        <w:spacing w:line="360" w:lineRule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CAM部分：</w:t>
      </w:r>
    </w:p>
    <w:p>
      <w:pPr>
        <w:numPr>
          <w:ilvl w:val="0"/>
          <w:numId w:val="4"/>
        </w:num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有阻抗的订单除加内部的测试条，还需加客户专用的阻抗条(阻抗条是8层，只是L3和L6的阻抗)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Arial" w:hAnsi="Arial" w:cs="Arial"/>
          <w:b/>
          <w:color w:val="000000"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color w:val="000000"/>
          <w:sz w:val="21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spacing w:line="360" w:lineRule="auto"/>
        <w:rPr>
          <w:rFonts w:ascii="宋体" w:hAnsi="宋体"/>
          <w:b/>
          <w:sz w:val="21"/>
          <w:szCs w:val="21"/>
          <w:highlight w:val="red"/>
        </w:rPr>
      </w:pPr>
      <w:r>
        <w:rPr>
          <w:rFonts w:hint="eastAsia" w:ascii="宋体" w:hAnsi="宋体"/>
          <w:b/>
          <w:sz w:val="21"/>
          <w:szCs w:val="21"/>
          <w:highlight w:val="red"/>
        </w:rPr>
        <w:t>MI部分</w:t>
      </w:r>
    </w:p>
    <w:p>
      <w:pPr>
        <w:spacing w:line="360" w:lineRule="auto"/>
        <w:rPr>
          <w:rFonts w:hint="eastAsia"/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1、外观检查备注：</w:t>
      </w:r>
    </w:p>
    <w:p>
      <w:pPr>
        <w:spacing w:line="360" w:lineRule="auto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hint="eastAsia" w:ascii="Arial" w:hAnsi="Arial" w:cs="Arial"/>
          <w:b/>
          <w:color w:val="auto"/>
          <w:sz w:val="21"/>
          <w:szCs w:val="21"/>
        </w:rPr>
        <w:t>1）</w:t>
      </w:r>
      <w:r>
        <w:rPr>
          <w:rFonts w:ascii="Arial" w:hAnsi="Arial" w:cs="Arial"/>
          <w:b/>
          <w:color w:val="auto"/>
          <w:sz w:val="21"/>
          <w:szCs w:val="21"/>
        </w:rPr>
        <w:t>不接受假性露铜及其它露铜；</w:t>
      </w:r>
      <w:r>
        <w:rPr>
          <w:rFonts w:ascii="Arial" w:hAnsi="Arial" w:cs="Arial"/>
          <w:b/>
          <w:color w:val="auto"/>
          <w:sz w:val="21"/>
          <w:szCs w:val="21"/>
        </w:rPr>
        <w:br w:type="textWrapping"/>
      </w:r>
      <w:r>
        <w:rPr>
          <w:rFonts w:hint="eastAsia" w:ascii="Arial" w:hAnsi="Arial" w:cs="Arial"/>
          <w:b/>
          <w:color w:val="auto"/>
          <w:sz w:val="21"/>
          <w:szCs w:val="21"/>
        </w:rPr>
        <w:t>2）</w:t>
      </w:r>
      <w:r>
        <w:rPr>
          <w:rFonts w:ascii="Arial" w:hAnsi="Arial" w:cs="Arial"/>
          <w:b/>
          <w:color w:val="auto"/>
          <w:sz w:val="21"/>
          <w:szCs w:val="21"/>
        </w:rPr>
        <w:t>板边单边不超过5处明显缺陷，边缘豁口不超过1mm；</w:t>
      </w:r>
      <w:r>
        <w:rPr>
          <w:rFonts w:ascii="Arial" w:hAnsi="Arial" w:cs="Arial"/>
          <w:b/>
          <w:color w:val="auto"/>
          <w:sz w:val="21"/>
          <w:szCs w:val="21"/>
        </w:rPr>
        <w:br w:type="textWrapping"/>
      </w:r>
      <w:r>
        <w:rPr>
          <w:rFonts w:hint="eastAsia" w:ascii="Arial" w:hAnsi="Arial" w:cs="Arial"/>
          <w:b/>
          <w:color w:val="auto"/>
          <w:sz w:val="21"/>
          <w:szCs w:val="21"/>
        </w:rPr>
        <w:t>3）有</w:t>
      </w:r>
      <w:r>
        <w:rPr>
          <w:rFonts w:ascii="Arial" w:hAnsi="Arial" w:cs="Arial"/>
          <w:b/>
          <w:color w:val="auto"/>
          <w:sz w:val="21"/>
          <w:szCs w:val="21"/>
        </w:rPr>
        <w:t>金手指</w:t>
      </w:r>
      <w:r>
        <w:rPr>
          <w:rFonts w:hint="eastAsia" w:ascii="Arial" w:hAnsi="Arial" w:cs="Arial"/>
          <w:b/>
          <w:color w:val="auto"/>
          <w:sz w:val="21"/>
          <w:szCs w:val="21"/>
        </w:rPr>
        <w:t>时备注</w:t>
      </w:r>
      <w:r>
        <w:rPr>
          <w:rFonts w:ascii="Arial" w:hAnsi="Arial" w:cs="Arial"/>
          <w:b/>
          <w:color w:val="auto"/>
          <w:sz w:val="21"/>
          <w:szCs w:val="21"/>
        </w:rPr>
        <w:t>：表面无目视凸起；接受轻微擦伤，不接受划痕导致裸漏基材、露镍或铜，单个金手指数量不能超过2个，划痕/凹痕长度不超过单面不超过1/5个金手指。</w:t>
      </w:r>
    </w:p>
    <w:p>
      <w:pPr>
        <w:spacing w:line="360" w:lineRule="auto"/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2、当有阻抗要求时，外形、阻抗测试、外观检查备注：投产1PNL提供1个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，投产大于1PNL提供2个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；</w:t>
      </w:r>
    </w:p>
    <w:p>
      <w:pPr>
        <w:spacing w:line="360" w:lineRule="auto"/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3、外形、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外观检查备注：微粘膜50个1张整齐排列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；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4、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内包装备注：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投产1PNL提供1个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，投产大于1PNL提供2个</w:t>
      </w:r>
      <w:r>
        <w:rPr>
          <w:rFonts w:hint="eastAsia" w:ascii="Arial" w:hAnsi="Arial" w:cs="Arial"/>
          <w:b/>
          <w:bCs/>
          <w:i w:val="0"/>
          <w:iCs w:val="0"/>
          <w:color w:val="533CFF"/>
          <w:sz w:val="21"/>
          <w:szCs w:val="21"/>
          <w:lang w:val="en-US" w:eastAsia="zh-CN"/>
        </w:rPr>
        <w:t>客户专用阻抗条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（有阻抗要求时）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、阻抗测试曲线图</w:t>
      </w:r>
      <w:r>
        <w:rPr>
          <w:rFonts w:hint="eastAsia" w:ascii="Arial" w:hAnsi="Arial" w:cs="Arial"/>
          <w:b/>
          <w:color w:val="0000FF"/>
          <w:sz w:val="21"/>
          <w:szCs w:val="21"/>
          <w:lang w:val="en-US" w:eastAsia="zh-CN"/>
        </w:rPr>
        <w:t>（订单有要求时）</w:t>
      </w:r>
      <w:r>
        <w:rPr>
          <w:rFonts w:hint="default" w:ascii="Arial" w:hAnsi="Arial" w:cs="Arial"/>
          <w:b/>
          <w:color w:val="0000FF"/>
          <w:sz w:val="21"/>
          <w:szCs w:val="21"/>
          <w:lang w:val="en-US" w:eastAsia="zh-CN"/>
        </w:rPr>
        <w:t>。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tabs>
          <w:tab w:val="left" w:pos="8339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24E6B"/>
    <w:multiLevelType w:val="singleLevel"/>
    <w:tmpl w:val="A4424E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3C92AC"/>
    <w:multiLevelType w:val="singleLevel"/>
    <w:tmpl w:val="1E3C92AC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35DAE38A"/>
    <w:multiLevelType w:val="singleLevel"/>
    <w:tmpl w:val="35DAE3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6355AF"/>
    <w:multiLevelType w:val="singleLevel"/>
    <w:tmpl w:val="566355A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4E00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0DBA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47B87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0AF0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2633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3607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1A44A41"/>
    <w:rsid w:val="02210550"/>
    <w:rsid w:val="0667670D"/>
    <w:rsid w:val="0C9030C8"/>
    <w:rsid w:val="17D73BF5"/>
    <w:rsid w:val="1E3D6410"/>
    <w:rsid w:val="1F5162B7"/>
    <w:rsid w:val="36390DAD"/>
    <w:rsid w:val="3BE556D1"/>
    <w:rsid w:val="3DCB73E7"/>
    <w:rsid w:val="49B97D8E"/>
    <w:rsid w:val="577851B9"/>
    <w:rsid w:val="61553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7">
    <w:name w:val="Hyperlink"/>
    <w:basedOn w:val="5"/>
    <w:semiHidden/>
    <w:unhideWhenUsed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paragraph" w:customStyle="1" w:styleId="8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1">
    <w:name w:val="before"/>
    <w:basedOn w:val="5"/>
    <w:qFormat/>
    <w:uiPriority w:val="0"/>
    <w:rPr>
      <w:bdr w:val="single" w:color="auto" w:sz="48" w:space="0"/>
    </w:rPr>
  </w:style>
  <w:style w:type="character" w:customStyle="1" w:styleId="12">
    <w:name w:val="hover"/>
    <w:basedOn w:val="5"/>
    <w:qFormat/>
    <w:uiPriority w:val="0"/>
    <w:rPr>
      <w:shd w:val="clear" w:fill="00B14F"/>
    </w:rPr>
  </w:style>
  <w:style w:type="character" w:customStyle="1" w:styleId="13">
    <w:name w:val="hover1"/>
    <w:basedOn w:val="5"/>
    <w:qFormat/>
    <w:uiPriority w:val="0"/>
    <w:rPr>
      <w:color w:val="009944"/>
    </w:rPr>
  </w:style>
  <w:style w:type="character" w:customStyle="1" w:styleId="14">
    <w:name w:val="hover2"/>
    <w:basedOn w:val="5"/>
    <w:qFormat/>
    <w:uiPriority w:val="0"/>
    <w:rPr>
      <w:color w:val="009944"/>
      <w:u w:val="none"/>
    </w:rPr>
  </w:style>
  <w:style w:type="character" w:customStyle="1" w:styleId="15">
    <w:name w:val="hover3"/>
    <w:basedOn w:val="5"/>
    <w:qFormat/>
    <w:uiPriority w:val="0"/>
    <w:rPr>
      <w:color w:val="1A85D7"/>
    </w:rPr>
  </w:style>
  <w:style w:type="character" w:customStyle="1" w:styleId="16">
    <w:name w:val="hover4"/>
    <w:basedOn w:val="5"/>
    <w:qFormat/>
    <w:uiPriority w:val="0"/>
  </w:style>
  <w:style w:type="character" w:customStyle="1" w:styleId="17">
    <w:name w:val="after"/>
    <w:basedOn w:val="5"/>
    <w:qFormat/>
    <w:uiPriority w:val="0"/>
    <w:rPr>
      <w:bdr w:val="dashed" w:color="auto" w:sz="48" w:space="0"/>
    </w:rPr>
  </w:style>
  <w:style w:type="character" w:customStyle="1" w:styleId="18">
    <w:name w:val="credit"/>
    <w:basedOn w:val="5"/>
    <w:qFormat/>
    <w:uiPriority w:val="0"/>
    <w:rPr>
      <w:sz w:val="18"/>
      <w:szCs w:val="18"/>
    </w:rPr>
  </w:style>
  <w:style w:type="character" w:customStyle="1" w:styleId="19">
    <w:name w:val="first-child"/>
    <w:basedOn w:val="5"/>
    <w:qFormat/>
    <w:uiPriority w:val="0"/>
  </w:style>
  <w:style w:type="character" w:customStyle="1" w:styleId="20">
    <w:name w:val="hover42"/>
    <w:basedOn w:val="5"/>
    <w:qFormat/>
    <w:uiPriority w:val="0"/>
    <w:rPr>
      <w:color w:val="009944"/>
      <w:u w:val="none"/>
    </w:rPr>
  </w:style>
  <w:style w:type="character" w:customStyle="1" w:styleId="21">
    <w:name w:val="hover43"/>
    <w:basedOn w:val="5"/>
    <w:qFormat/>
    <w:uiPriority w:val="0"/>
    <w:rPr>
      <w:shd w:val="clear" w:fill="00B14F"/>
    </w:rPr>
  </w:style>
  <w:style w:type="character" w:customStyle="1" w:styleId="22">
    <w:name w:val="hover44"/>
    <w:basedOn w:val="5"/>
    <w:qFormat/>
    <w:uiPriority w:val="0"/>
  </w:style>
  <w:style w:type="character" w:customStyle="1" w:styleId="23">
    <w:name w:val="hover45"/>
    <w:basedOn w:val="5"/>
    <w:qFormat/>
    <w:uiPriority w:val="0"/>
    <w:rPr>
      <w:color w:val="009944"/>
    </w:rPr>
  </w:style>
  <w:style w:type="character" w:customStyle="1" w:styleId="24">
    <w:name w:val="hover46"/>
    <w:basedOn w:val="5"/>
    <w:qFormat/>
    <w:uiPriority w:val="0"/>
    <w:rPr>
      <w:color w:val="1A85D7"/>
    </w:rPr>
  </w:style>
  <w:style w:type="character" w:customStyle="1" w:styleId="25">
    <w:name w:val="hover47"/>
    <w:basedOn w:val="5"/>
    <w:qFormat/>
    <w:uiPriority w:val="0"/>
  </w:style>
  <w:style w:type="character" w:customStyle="1" w:styleId="26">
    <w:name w:val="hover48"/>
    <w:basedOn w:val="5"/>
    <w:qFormat/>
    <w:uiPriority w:val="0"/>
    <w:rPr>
      <w:color w:val="1A85D7"/>
    </w:rPr>
  </w:style>
  <w:style w:type="paragraph" w:customStyle="1" w:styleId="27">
    <w:name w:val="lui_form_subjec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center"/>
    </w:pPr>
    <w:rPr>
      <w:color w:val="333333"/>
      <w:kern w:val="0"/>
      <w:sz w:val="36"/>
      <w:szCs w:val="36"/>
      <w:lang w:val="en-US" w:eastAsia="zh-CN" w:bidi="ar"/>
    </w:rPr>
  </w:style>
  <w:style w:type="character" w:customStyle="1" w:styleId="28">
    <w:name w:val="val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崔爱华</cp:lastModifiedBy>
  <dcterms:modified xsi:type="dcterms:W3CDTF">2024-04-29T13:28:00Z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CC21363C7417417FB57E41E5DFA07DA8</vt:lpwstr>
  </property>
</Properties>
</file>